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AAB" w:rsidRDefault="00D00AAB" w:rsidP="00D00AAB">
      <w:pPr>
        <w:pStyle w:val="NormalWeb"/>
        <w:contextualSpacing/>
      </w:pPr>
      <w:r>
        <w:t>Katherine Vazquez</w:t>
      </w:r>
    </w:p>
    <w:p w:rsidR="00D00AAB" w:rsidRDefault="00D00AAB" w:rsidP="00D00AAB">
      <w:pPr>
        <w:pStyle w:val="NormalWeb"/>
        <w:contextualSpacing/>
      </w:pPr>
      <w:r>
        <w:t>Annotated Bibliography</w:t>
      </w:r>
    </w:p>
    <w:p w:rsidR="00D00AAB" w:rsidRDefault="00D00AAB" w:rsidP="00D00AAB">
      <w:pPr>
        <w:pStyle w:val="NormalWeb"/>
      </w:pPr>
    </w:p>
    <w:p w:rsidR="00D00AAB" w:rsidRDefault="00D00AAB" w:rsidP="00D00AAB">
      <w:pPr>
        <w:pStyle w:val="NormalWeb"/>
        <w:rPr>
          <w:iCs/>
        </w:rPr>
      </w:pPr>
      <w:r w:rsidRPr="00743B80">
        <w:t xml:space="preserve">Anderson, J. R., </w:t>
      </w:r>
      <w:proofErr w:type="spellStart"/>
      <w:r w:rsidRPr="00743B80">
        <w:t>Reder</w:t>
      </w:r>
      <w:proofErr w:type="spellEnd"/>
      <w:r w:rsidRPr="00743B80">
        <w:t xml:space="preserve">, L.M., &amp; Simon, H.A. (2000, </w:t>
      </w:r>
      <w:proofErr w:type="gramStart"/>
      <w:r w:rsidRPr="00743B80">
        <w:t>Summer</w:t>
      </w:r>
      <w:proofErr w:type="gramEnd"/>
      <w:r w:rsidRPr="00743B80">
        <w:t xml:space="preserve">). </w:t>
      </w:r>
      <w:r w:rsidRPr="00743B80">
        <w:rPr>
          <w:iCs/>
        </w:rPr>
        <w:t xml:space="preserve">Applications and </w:t>
      </w:r>
      <w:r>
        <w:rPr>
          <w:iCs/>
        </w:rPr>
        <w:t xml:space="preserve">misapplications                            </w:t>
      </w:r>
    </w:p>
    <w:p w:rsidR="00D00AAB" w:rsidRDefault="00D00AAB" w:rsidP="00D00AAB">
      <w:pPr>
        <w:pStyle w:val="NormalWeb"/>
        <w:ind w:firstLine="720"/>
        <w:rPr>
          <w:i/>
        </w:rPr>
      </w:pPr>
      <w:proofErr w:type="gramStart"/>
      <w:r w:rsidRPr="00743B80">
        <w:rPr>
          <w:iCs/>
        </w:rPr>
        <w:t>of</w:t>
      </w:r>
      <w:proofErr w:type="gramEnd"/>
      <w:r w:rsidRPr="00743B80">
        <w:rPr>
          <w:iCs/>
        </w:rPr>
        <w:t xml:space="preserve"> cognitive psychology to mathematics education.</w:t>
      </w:r>
      <w:r w:rsidRPr="00743B80">
        <w:t xml:space="preserve"> </w:t>
      </w:r>
      <w:proofErr w:type="gramStart"/>
      <w:r w:rsidRPr="00743B80">
        <w:rPr>
          <w:i/>
        </w:rPr>
        <w:t>Texas Educational Review.</w:t>
      </w:r>
      <w:proofErr w:type="gramEnd"/>
    </w:p>
    <w:p w:rsidR="00D00AAB" w:rsidRPr="00D00AAB" w:rsidRDefault="00D00AAB" w:rsidP="00D00AAB">
      <w:pPr>
        <w:pStyle w:val="NormalWeb"/>
      </w:pPr>
      <w:r>
        <w:t>This article criticizes the constructivist approach to teaching math.  Instead, an emphasis on “decontextualized” learning is prescribed.  The recommendations are built upon new developments in cognitive psychology.</w:t>
      </w:r>
    </w:p>
    <w:p w:rsidR="00DF23DF" w:rsidRDefault="00DF23DF" w:rsidP="00D00AAB">
      <w:pPr>
        <w:shd w:val="clear" w:color="auto" w:fill="FFFFFF"/>
        <w:spacing w:after="75" w:line="340" w:lineRule="auto"/>
        <w:rPr>
          <w:rFonts w:ascii="Times New Roman" w:hAnsi="Times New Roman" w:cs="Times New Roman"/>
          <w:sz w:val="24"/>
          <w:szCs w:val="24"/>
        </w:rPr>
      </w:pPr>
    </w:p>
    <w:p w:rsidR="00D00AAB" w:rsidRDefault="00D00AAB" w:rsidP="00D00AAB">
      <w:pPr>
        <w:shd w:val="clear" w:color="auto" w:fill="FFFFFF"/>
        <w:spacing w:after="75" w:line="340" w:lineRule="auto"/>
        <w:rPr>
          <w:rFonts w:ascii="Times New Roman" w:hAnsi="Times New Roman" w:cs="Times New Roman"/>
          <w:sz w:val="24"/>
          <w:szCs w:val="24"/>
        </w:rPr>
      </w:pPr>
      <w:proofErr w:type="spellStart"/>
      <w:proofErr w:type="gramStart"/>
      <w:r w:rsidRPr="00743B80">
        <w:rPr>
          <w:rFonts w:ascii="Times New Roman" w:hAnsi="Times New Roman" w:cs="Times New Roman"/>
          <w:sz w:val="24"/>
          <w:szCs w:val="24"/>
        </w:rPr>
        <w:t>Bahrick</w:t>
      </w:r>
      <w:proofErr w:type="spellEnd"/>
      <w:r w:rsidRPr="00743B80">
        <w:rPr>
          <w:rFonts w:ascii="Times New Roman" w:hAnsi="Times New Roman" w:cs="Times New Roman"/>
          <w:sz w:val="24"/>
          <w:szCs w:val="24"/>
        </w:rPr>
        <w:t>, H. P. &amp; Hall, L. K. (199</w:t>
      </w:r>
      <w:r w:rsidR="00DF23DF">
        <w:rPr>
          <w:rFonts w:ascii="Times New Roman" w:hAnsi="Times New Roman" w:cs="Times New Roman"/>
          <w:sz w:val="24"/>
          <w:szCs w:val="24"/>
        </w:rPr>
        <w:t>1).</w:t>
      </w:r>
      <w:proofErr w:type="gramEnd"/>
      <w:r w:rsidR="00DF23DF">
        <w:rPr>
          <w:rFonts w:ascii="Times New Roman" w:hAnsi="Times New Roman" w:cs="Times New Roman"/>
          <w:sz w:val="24"/>
          <w:szCs w:val="24"/>
        </w:rPr>
        <w:t xml:space="preserve"> </w:t>
      </w:r>
      <w:proofErr w:type="gramStart"/>
      <w:r w:rsidR="00DF23DF">
        <w:rPr>
          <w:rFonts w:ascii="Times New Roman" w:hAnsi="Times New Roman" w:cs="Times New Roman"/>
          <w:sz w:val="24"/>
          <w:szCs w:val="24"/>
        </w:rPr>
        <w:t>Lifetime maintenance of</w:t>
      </w:r>
      <w:r w:rsidRPr="00743B80">
        <w:rPr>
          <w:rFonts w:ascii="Times New Roman" w:hAnsi="Times New Roman" w:cs="Times New Roman"/>
          <w:sz w:val="24"/>
          <w:szCs w:val="24"/>
        </w:rPr>
        <w:t xml:space="preserve"> school mathematics content.</w:t>
      </w:r>
      <w:proofErr w:type="gramEnd"/>
      <w:r w:rsidRPr="00743B8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00AAB" w:rsidRDefault="00D00AAB" w:rsidP="00D00AAB">
      <w:pPr>
        <w:shd w:val="clear" w:color="auto" w:fill="FFFFFF"/>
        <w:spacing w:after="75" w:line="340" w:lineRule="auto"/>
        <w:ind w:firstLine="720"/>
        <w:rPr>
          <w:rFonts w:ascii="Times New Roman" w:hAnsi="Times New Roman" w:cs="Times New Roman"/>
          <w:sz w:val="24"/>
          <w:szCs w:val="24"/>
        </w:rPr>
      </w:pPr>
      <w:r w:rsidRPr="00743B80">
        <w:rPr>
          <w:rFonts w:ascii="Times New Roman" w:hAnsi="Times New Roman" w:cs="Times New Roman"/>
          <w:i/>
          <w:iCs/>
          <w:sz w:val="24"/>
          <w:szCs w:val="24"/>
        </w:rPr>
        <w:t>Journal of Experimental Psychology: General, 120,</w:t>
      </w:r>
      <w:r w:rsidRPr="00743B80">
        <w:rPr>
          <w:rFonts w:ascii="Times New Roman" w:hAnsi="Times New Roman" w:cs="Times New Roman"/>
          <w:sz w:val="24"/>
          <w:szCs w:val="24"/>
        </w:rPr>
        <w:t xml:space="preserve"> 22-33.</w:t>
      </w:r>
    </w:p>
    <w:p w:rsidR="00DF23DF" w:rsidRDefault="00DF23DF" w:rsidP="00DF23DF">
      <w:pPr>
        <w:shd w:val="clear" w:color="auto" w:fill="FFFFFF"/>
        <w:spacing w:after="75" w:line="340" w:lineRule="auto"/>
        <w:rPr>
          <w:rFonts w:ascii="Times New Roman" w:hAnsi="Times New Roman" w:cs="Times New Roman"/>
          <w:sz w:val="24"/>
          <w:szCs w:val="24"/>
        </w:rPr>
      </w:pPr>
      <w:r>
        <w:rPr>
          <w:rFonts w:ascii="Times New Roman" w:hAnsi="Times New Roman" w:cs="Times New Roman"/>
          <w:sz w:val="24"/>
          <w:szCs w:val="24"/>
        </w:rPr>
        <w:t>This article explored how long mathematical concepts were retained.  Specific factors influence what material is consolidated, namely how it is taught and how frequently it is used.</w:t>
      </w:r>
    </w:p>
    <w:p w:rsidR="00DF23DF" w:rsidRDefault="00DF23DF" w:rsidP="00D00AAB">
      <w:pPr>
        <w:shd w:val="clear" w:color="auto" w:fill="FFFFFF"/>
        <w:spacing w:after="75" w:line="340" w:lineRule="auto"/>
        <w:ind w:firstLine="720"/>
        <w:rPr>
          <w:rFonts w:ascii="Times New Roman" w:hAnsi="Times New Roman" w:cs="Times New Roman"/>
          <w:sz w:val="24"/>
          <w:szCs w:val="24"/>
        </w:rPr>
      </w:pPr>
    </w:p>
    <w:p w:rsidR="00D00AAB" w:rsidRDefault="00D00AAB" w:rsidP="00D00AAB">
      <w:pPr>
        <w:shd w:val="clear" w:color="auto" w:fill="FFFFFF"/>
        <w:spacing w:after="75" w:line="340" w:lineRule="auto"/>
        <w:rPr>
          <w:rFonts w:ascii="Times New Roman" w:hAnsi="Times New Roman" w:cs="Times New Roman"/>
          <w:sz w:val="24"/>
          <w:szCs w:val="24"/>
        </w:rPr>
      </w:pPr>
      <w:proofErr w:type="spellStart"/>
      <w:r w:rsidRPr="00743B80">
        <w:rPr>
          <w:rFonts w:ascii="Times New Roman" w:hAnsi="Times New Roman" w:cs="Times New Roman"/>
          <w:sz w:val="24"/>
          <w:szCs w:val="24"/>
        </w:rPr>
        <w:t>Brousseau</w:t>
      </w:r>
      <w:proofErr w:type="spellEnd"/>
      <w:r w:rsidRPr="00743B80">
        <w:rPr>
          <w:rFonts w:ascii="Times New Roman" w:hAnsi="Times New Roman" w:cs="Times New Roman"/>
          <w:sz w:val="24"/>
          <w:szCs w:val="24"/>
        </w:rPr>
        <w:t xml:space="preserve">, G. (1984). The crucial role of the didactical contract in the analysis and construction </w:t>
      </w:r>
    </w:p>
    <w:p w:rsidR="00D00AAB" w:rsidRDefault="00D00AAB" w:rsidP="00D00AAB">
      <w:pPr>
        <w:shd w:val="clear" w:color="auto" w:fill="FFFFFF"/>
        <w:spacing w:after="75" w:line="340" w:lineRule="auto"/>
        <w:ind w:left="720"/>
        <w:rPr>
          <w:rFonts w:ascii="Times New Roman" w:hAnsi="Times New Roman" w:cs="Times New Roman"/>
          <w:sz w:val="24"/>
          <w:szCs w:val="24"/>
        </w:rPr>
      </w:pPr>
      <w:proofErr w:type="gramStart"/>
      <w:r w:rsidRPr="00743B80">
        <w:rPr>
          <w:rFonts w:ascii="Times New Roman" w:hAnsi="Times New Roman" w:cs="Times New Roman"/>
          <w:sz w:val="24"/>
          <w:szCs w:val="24"/>
        </w:rPr>
        <w:t>of</w:t>
      </w:r>
      <w:proofErr w:type="gramEnd"/>
      <w:r w:rsidRPr="00743B80">
        <w:rPr>
          <w:rFonts w:ascii="Times New Roman" w:hAnsi="Times New Roman" w:cs="Times New Roman"/>
          <w:sz w:val="24"/>
          <w:szCs w:val="24"/>
        </w:rPr>
        <w:t xml:space="preserve"> situations in teaching and learning mathematics. </w:t>
      </w:r>
      <w:r w:rsidRPr="00743B80">
        <w:rPr>
          <w:rFonts w:ascii="Times New Roman" w:hAnsi="Times New Roman" w:cs="Times New Roman"/>
          <w:i/>
          <w:iCs/>
          <w:sz w:val="24"/>
          <w:szCs w:val="24"/>
        </w:rPr>
        <w:t>Theory of Mathematics Education</w:t>
      </w:r>
      <w:r w:rsidRPr="00743B80">
        <w:rPr>
          <w:rFonts w:ascii="Times New Roman" w:hAnsi="Times New Roman" w:cs="Times New Roman"/>
          <w:sz w:val="24"/>
          <w:szCs w:val="24"/>
        </w:rPr>
        <w:t xml:space="preserve">, 54, 110-119. </w:t>
      </w:r>
    </w:p>
    <w:p w:rsidR="00D00AAB" w:rsidRPr="00A238FA" w:rsidRDefault="00D00AAB" w:rsidP="00D00AAB">
      <w:pPr>
        <w:shd w:val="clear" w:color="auto" w:fill="FFFFFF"/>
        <w:spacing w:after="75" w:line="340" w:lineRule="auto"/>
        <w:rPr>
          <w:rFonts w:ascii="Times New Roman" w:hAnsi="Times New Roman" w:cs="Times New Roman"/>
          <w:sz w:val="24"/>
          <w:szCs w:val="24"/>
        </w:rPr>
      </w:pPr>
      <w:r>
        <w:rPr>
          <w:rFonts w:ascii="Times New Roman" w:hAnsi="Times New Roman" w:cs="Times New Roman"/>
          <w:sz w:val="24"/>
          <w:szCs w:val="24"/>
        </w:rPr>
        <w:t>This article explains how problem solving alone may simply serve to reinforce pre-existing misconceptions. The didactical contract specifies the role of teacher and student, and how teachers must present situations that help students create new constructions.  The inquiry model alone may not be sufficient for teaching math.</w:t>
      </w:r>
    </w:p>
    <w:p w:rsidR="00D00AAB" w:rsidRDefault="00D00AAB" w:rsidP="00D00AAB">
      <w:pPr>
        <w:rPr>
          <w:rFonts w:ascii="Times New Roman" w:hAnsi="Times New Roman" w:cs="Times New Roman"/>
          <w:sz w:val="24"/>
          <w:szCs w:val="24"/>
        </w:rPr>
      </w:pPr>
    </w:p>
    <w:p w:rsidR="00D00AAB" w:rsidRDefault="00D00AAB" w:rsidP="00D00AAB">
      <w:pPr>
        <w:rPr>
          <w:rFonts w:ascii="Times New Roman" w:hAnsi="Times New Roman" w:cs="Times New Roman"/>
          <w:sz w:val="24"/>
          <w:szCs w:val="24"/>
        </w:rPr>
      </w:pPr>
      <w:r w:rsidRPr="00743B80">
        <w:rPr>
          <w:rFonts w:ascii="Times New Roman" w:hAnsi="Times New Roman" w:cs="Times New Roman"/>
          <w:sz w:val="24"/>
          <w:szCs w:val="24"/>
        </w:rPr>
        <w:t xml:space="preserve">Cobb, P. (1990). A constructivist perspective on information-processing theories of </w:t>
      </w:r>
    </w:p>
    <w:p w:rsidR="00D00AAB" w:rsidRDefault="00D00AAB" w:rsidP="00D00AAB">
      <w:pPr>
        <w:ind w:firstLine="720"/>
        <w:rPr>
          <w:rFonts w:ascii="Times New Roman" w:hAnsi="Times New Roman" w:cs="Times New Roman"/>
          <w:sz w:val="24"/>
          <w:szCs w:val="24"/>
        </w:rPr>
      </w:pPr>
      <w:proofErr w:type="gramStart"/>
      <w:r w:rsidRPr="00743B80">
        <w:rPr>
          <w:rFonts w:ascii="Times New Roman" w:hAnsi="Times New Roman" w:cs="Times New Roman"/>
          <w:sz w:val="24"/>
          <w:szCs w:val="24"/>
        </w:rPr>
        <w:t>mathematical</w:t>
      </w:r>
      <w:proofErr w:type="gramEnd"/>
      <w:r w:rsidRPr="00743B80">
        <w:rPr>
          <w:rFonts w:ascii="Times New Roman" w:hAnsi="Times New Roman" w:cs="Times New Roman"/>
          <w:sz w:val="24"/>
          <w:szCs w:val="24"/>
        </w:rPr>
        <w:t xml:space="preserve"> activity. </w:t>
      </w:r>
      <w:r w:rsidRPr="00743B80">
        <w:rPr>
          <w:rFonts w:ascii="Times New Roman" w:hAnsi="Times New Roman" w:cs="Times New Roman"/>
          <w:i/>
          <w:iCs/>
          <w:sz w:val="24"/>
          <w:szCs w:val="24"/>
        </w:rPr>
        <w:t>International Journal of Educational Research, 14,</w:t>
      </w:r>
      <w:r w:rsidRPr="00743B80">
        <w:rPr>
          <w:rFonts w:ascii="Times New Roman" w:hAnsi="Times New Roman" w:cs="Times New Roman"/>
          <w:sz w:val="24"/>
          <w:szCs w:val="24"/>
        </w:rPr>
        <w:t xml:space="preserve"> 67-92.</w:t>
      </w:r>
    </w:p>
    <w:p w:rsidR="00DF23DF" w:rsidRPr="00DF23DF" w:rsidRDefault="00DF23DF" w:rsidP="00DF23DF">
      <w:pPr>
        <w:rPr>
          <w:rFonts w:ascii="Times New Roman" w:hAnsi="Times New Roman" w:cs="Times New Roman"/>
          <w:sz w:val="24"/>
          <w:szCs w:val="24"/>
        </w:rPr>
      </w:pPr>
      <w:r w:rsidRPr="00DF23DF">
        <w:rPr>
          <w:rFonts w:ascii="Times New Roman" w:hAnsi="Times New Roman" w:cs="Times New Roman"/>
          <w:sz w:val="24"/>
          <w:szCs w:val="24"/>
        </w:rPr>
        <w:t>The paper focuses on the strong research program and initially considers situations in which it claims to have advanced our understanding of mathematical activity. It is concluded that the program's characterization of students as environmentally driven systems leads to: (a) a treatment of mathematical activity in isolated, narrow, formal domains; (b) a failure to deal with relevance, common sense, and context, and (c) a separation of conceptual thought from sensory-motor action.</w:t>
      </w:r>
    </w:p>
    <w:p w:rsidR="00DF23DF" w:rsidRDefault="00DF23DF" w:rsidP="00D00AAB">
      <w:pPr>
        <w:rPr>
          <w:rFonts w:ascii="Times New Roman" w:hAnsi="Times New Roman" w:cs="Times New Roman"/>
          <w:sz w:val="24"/>
          <w:szCs w:val="24"/>
        </w:rPr>
      </w:pPr>
    </w:p>
    <w:p w:rsidR="00D00AAB" w:rsidRDefault="00D00AAB" w:rsidP="00D00AAB">
      <w:pPr>
        <w:rPr>
          <w:rFonts w:ascii="Times New Roman" w:hAnsi="Times New Roman" w:cs="Times New Roman"/>
          <w:sz w:val="24"/>
          <w:szCs w:val="24"/>
        </w:rPr>
      </w:pPr>
      <w:r w:rsidRPr="00743B80">
        <w:rPr>
          <w:rFonts w:ascii="Times New Roman" w:hAnsi="Times New Roman" w:cs="Times New Roman"/>
          <w:sz w:val="24"/>
          <w:szCs w:val="24"/>
        </w:rPr>
        <w:lastRenderedPageBreak/>
        <w:t xml:space="preserve">Hayes, J. R. (1985). </w:t>
      </w:r>
      <w:proofErr w:type="gramStart"/>
      <w:r w:rsidRPr="00743B80">
        <w:rPr>
          <w:rFonts w:ascii="Times New Roman" w:hAnsi="Times New Roman" w:cs="Times New Roman"/>
          <w:sz w:val="24"/>
          <w:szCs w:val="24"/>
        </w:rPr>
        <w:t>The problems in teaching general skills.</w:t>
      </w:r>
      <w:proofErr w:type="gramEnd"/>
      <w:r w:rsidRPr="00743B80">
        <w:rPr>
          <w:rFonts w:ascii="Times New Roman" w:hAnsi="Times New Roman" w:cs="Times New Roman"/>
          <w:sz w:val="24"/>
          <w:szCs w:val="24"/>
        </w:rPr>
        <w:t xml:space="preserve"> </w:t>
      </w:r>
      <w:r w:rsidRPr="00743B80">
        <w:rPr>
          <w:rFonts w:ascii="Times New Roman" w:hAnsi="Times New Roman" w:cs="Times New Roman"/>
          <w:i/>
          <w:iCs/>
          <w:sz w:val="24"/>
          <w:szCs w:val="24"/>
        </w:rPr>
        <w:t>Thinking and learning,</w:t>
      </w:r>
      <w:r w:rsidRPr="00743B80">
        <w:rPr>
          <w:rFonts w:ascii="Times New Roman" w:hAnsi="Times New Roman" w:cs="Times New Roman"/>
          <w:sz w:val="24"/>
          <w:szCs w:val="24"/>
        </w:rPr>
        <w:t xml:space="preserve"> Vol. 2</w:t>
      </w:r>
      <w:r>
        <w:rPr>
          <w:rFonts w:ascii="Times New Roman" w:hAnsi="Times New Roman" w:cs="Times New Roman"/>
          <w:sz w:val="24"/>
          <w:szCs w:val="24"/>
        </w:rPr>
        <w:t>, 29-</w:t>
      </w:r>
    </w:p>
    <w:p w:rsidR="00D00AAB" w:rsidRDefault="00D00AAB" w:rsidP="00D00AAB">
      <w:pPr>
        <w:ind w:firstLine="720"/>
        <w:rPr>
          <w:rFonts w:ascii="Times New Roman" w:hAnsi="Times New Roman" w:cs="Times New Roman"/>
          <w:sz w:val="24"/>
          <w:szCs w:val="24"/>
        </w:rPr>
      </w:pPr>
      <w:r>
        <w:rPr>
          <w:rFonts w:ascii="Times New Roman" w:hAnsi="Times New Roman" w:cs="Times New Roman"/>
          <w:sz w:val="24"/>
          <w:szCs w:val="24"/>
        </w:rPr>
        <w:t>37</w:t>
      </w:r>
      <w:r w:rsidRPr="00743B80">
        <w:rPr>
          <w:rFonts w:ascii="Times New Roman" w:hAnsi="Times New Roman" w:cs="Times New Roman"/>
          <w:sz w:val="24"/>
          <w:szCs w:val="24"/>
        </w:rPr>
        <w:t>. Hillsdale, NJ: Erlbaum.</w:t>
      </w:r>
    </w:p>
    <w:p w:rsidR="00DF23DF" w:rsidRPr="00743B80" w:rsidRDefault="00DF23DF" w:rsidP="00DF23DF">
      <w:pPr>
        <w:rPr>
          <w:rFonts w:ascii="Times New Roman" w:hAnsi="Times New Roman" w:cs="Times New Roman"/>
          <w:sz w:val="24"/>
          <w:szCs w:val="24"/>
        </w:rPr>
      </w:pPr>
      <w:r>
        <w:rPr>
          <w:rFonts w:ascii="Times New Roman" w:hAnsi="Times New Roman" w:cs="Times New Roman"/>
          <w:sz w:val="24"/>
          <w:szCs w:val="24"/>
        </w:rPr>
        <w:t>This article was relevant in its exploration of general skills like adding, multiplying, and dividing.  While they seem intuitive once learned, a solid algorithm is needed to precipitate understanding at the incipient stages of learning.</w:t>
      </w:r>
      <w:bookmarkStart w:id="0" w:name="_GoBack"/>
      <w:bookmarkEnd w:id="0"/>
    </w:p>
    <w:p w:rsidR="00D00AAB" w:rsidRPr="00D00AAB" w:rsidRDefault="00D00AAB" w:rsidP="00D00AAB">
      <w:pPr>
        <w:rPr>
          <w:rFonts w:ascii="Times New Roman" w:hAnsi="Times New Roman" w:cs="Times New Roman"/>
          <w:sz w:val="24"/>
          <w:szCs w:val="24"/>
        </w:rPr>
      </w:pPr>
    </w:p>
    <w:p w:rsidR="00D00AAB" w:rsidRDefault="00D00AAB" w:rsidP="00D00AAB">
      <w:pPr>
        <w:rPr>
          <w:rFonts w:ascii="Times New Roman" w:hAnsi="Times New Roman" w:cs="Times New Roman"/>
          <w:i/>
          <w:color w:val="333333"/>
          <w:sz w:val="24"/>
          <w:szCs w:val="24"/>
        </w:rPr>
      </w:pPr>
      <w:hyperlink r:id="rId5" w:tooltip="New Search for Author Nugent, Patricia M." w:history="1">
        <w:r w:rsidRPr="00D00AAB">
          <w:rPr>
            <w:rStyle w:val="Hyperlink"/>
            <w:rFonts w:ascii="Times New Roman" w:hAnsi="Times New Roman" w:cs="Times New Roman"/>
            <w:color w:val="auto"/>
            <w:sz w:val="24"/>
            <w:szCs w:val="24"/>
            <w:u w:val="none"/>
          </w:rPr>
          <w:t>Nugent, Patricia M.</w:t>
        </w:r>
      </w:hyperlink>
      <w:r w:rsidRPr="00D00AAB">
        <w:rPr>
          <w:rFonts w:ascii="Times New Roman" w:hAnsi="Times New Roman" w:cs="Times New Roman"/>
          <w:sz w:val="24"/>
          <w:szCs w:val="24"/>
        </w:rPr>
        <w:t xml:space="preserve"> </w:t>
      </w:r>
      <w:r w:rsidRPr="00743B80">
        <w:rPr>
          <w:rFonts w:ascii="Times New Roman" w:hAnsi="Times New Roman" w:cs="Times New Roman"/>
          <w:sz w:val="24"/>
          <w:szCs w:val="24"/>
        </w:rPr>
        <w:t xml:space="preserve">(2007). </w:t>
      </w:r>
      <w:proofErr w:type="gramStart"/>
      <w:r w:rsidRPr="00743B80">
        <w:rPr>
          <w:rFonts w:ascii="Times New Roman" w:hAnsi="Times New Roman" w:cs="Times New Roman"/>
          <w:color w:val="333333"/>
          <w:sz w:val="24"/>
          <w:szCs w:val="24"/>
        </w:rPr>
        <w:t xml:space="preserve">Lattice multiplication in a </w:t>
      </w:r>
      <w:proofErr w:type="spellStart"/>
      <w:r w:rsidRPr="00743B80">
        <w:rPr>
          <w:rFonts w:ascii="Times New Roman" w:hAnsi="Times New Roman" w:cs="Times New Roman"/>
          <w:color w:val="333333"/>
          <w:sz w:val="24"/>
          <w:szCs w:val="24"/>
        </w:rPr>
        <w:t>preservice</w:t>
      </w:r>
      <w:proofErr w:type="spellEnd"/>
      <w:r w:rsidRPr="00743B80">
        <w:rPr>
          <w:rFonts w:ascii="Times New Roman" w:hAnsi="Times New Roman" w:cs="Times New Roman"/>
          <w:color w:val="333333"/>
          <w:sz w:val="24"/>
          <w:szCs w:val="24"/>
        </w:rPr>
        <w:t xml:space="preserve"> classroom</w:t>
      </w:r>
      <w:r w:rsidRPr="00743B80">
        <w:rPr>
          <w:rFonts w:ascii="Times New Roman" w:hAnsi="Times New Roman" w:cs="Times New Roman"/>
          <w:i/>
          <w:color w:val="333333"/>
          <w:sz w:val="24"/>
          <w:szCs w:val="24"/>
        </w:rPr>
        <w:t>.</w:t>
      </w:r>
      <w:proofErr w:type="gramEnd"/>
      <w:r w:rsidRPr="00743B80">
        <w:rPr>
          <w:rFonts w:ascii="Times New Roman" w:hAnsi="Times New Roman" w:cs="Times New Roman"/>
          <w:color w:val="333333"/>
          <w:sz w:val="24"/>
          <w:szCs w:val="24"/>
        </w:rPr>
        <w:t xml:space="preserve"> </w:t>
      </w:r>
      <w:r w:rsidRPr="00743B80">
        <w:rPr>
          <w:rFonts w:ascii="Times New Roman" w:hAnsi="Times New Roman" w:cs="Times New Roman"/>
          <w:i/>
          <w:color w:val="333333"/>
          <w:sz w:val="24"/>
          <w:szCs w:val="24"/>
        </w:rPr>
        <w:t xml:space="preserve">Mathematics </w:t>
      </w:r>
    </w:p>
    <w:p w:rsidR="00D00AAB" w:rsidRDefault="00D00AAB" w:rsidP="00D00AAB">
      <w:pPr>
        <w:ind w:firstLine="720"/>
        <w:rPr>
          <w:rFonts w:ascii="Times New Roman" w:hAnsi="Times New Roman" w:cs="Times New Roman"/>
          <w:color w:val="333333"/>
          <w:sz w:val="24"/>
          <w:szCs w:val="24"/>
        </w:rPr>
      </w:pPr>
      <w:proofErr w:type="gramStart"/>
      <w:r w:rsidRPr="00743B80">
        <w:rPr>
          <w:rFonts w:ascii="Times New Roman" w:hAnsi="Times New Roman" w:cs="Times New Roman"/>
          <w:i/>
          <w:color w:val="333333"/>
          <w:sz w:val="24"/>
          <w:szCs w:val="24"/>
        </w:rPr>
        <w:t>Teaching in the Middle School</w:t>
      </w:r>
      <w:r w:rsidRPr="00743B80">
        <w:rPr>
          <w:rFonts w:ascii="Times New Roman" w:hAnsi="Times New Roman" w:cs="Times New Roman"/>
          <w:color w:val="333333"/>
          <w:sz w:val="24"/>
          <w:szCs w:val="24"/>
        </w:rPr>
        <w:t>, 13, 110-113.</w:t>
      </w:r>
      <w:proofErr w:type="gramEnd"/>
    </w:p>
    <w:p w:rsidR="00D00AAB" w:rsidRPr="00743B80" w:rsidRDefault="00D00AAB" w:rsidP="00D00AAB">
      <w:pPr>
        <w:rPr>
          <w:rFonts w:ascii="Times New Roman" w:hAnsi="Times New Roman" w:cs="Times New Roman"/>
          <w:color w:val="333333"/>
          <w:sz w:val="24"/>
          <w:szCs w:val="24"/>
        </w:rPr>
      </w:pPr>
      <w:r>
        <w:rPr>
          <w:rFonts w:ascii="Times New Roman" w:hAnsi="Times New Roman" w:cs="Times New Roman"/>
          <w:color w:val="333333"/>
          <w:sz w:val="24"/>
          <w:szCs w:val="24"/>
        </w:rPr>
        <w:t xml:space="preserve">This article highlights the obliqueness of the lattice method.  Traditional algorithms are favored because they are more seamlessly applied.  While the author does not eschew new techniques entirely, </w:t>
      </w:r>
      <w:proofErr w:type="gramStart"/>
      <w:r>
        <w:rPr>
          <w:rFonts w:ascii="Times New Roman" w:hAnsi="Times New Roman" w:cs="Times New Roman"/>
          <w:color w:val="333333"/>
          <w:sz w:val="24"/>
          <w:szCs w:val="24"/>
        </w:rPr>
        <w:t>a foundation in timeless methods are</w:t>
      </w:r>
      <w:proofErr w:type="gramEnd"/>
      <w:r>
        <w:rPr>
          <w:rFonts w:ascii="Times New Roman" w:hAnsi="Times New Roman" w:cs="Times New Roman"/>
          <w:color w:val="333333"/>
          <w:sz w:val="24"/>
          <w:szCs w:val="24"/>
        </w:rPr>
        <w:t xml:space="preserve"> fundamental.  </w:t>
      </w:r>
    </w:p>
    <w:p w:rsidR="003C4CD4" w:rsidRDefault="003C4CD4"/>
    <w:sectPr w:rsidR="003C4C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AAB"/>
    <w:rsid w:val="0000569D"/>
    <w:rsid w:val="00012ECC"/>
    <w:rsid w:val="0003028B"/>
    <w:rsid w:val="00037F14"/>
    <w:rsid w:val="0004279A"/>
    <w:rsid w:val="000461C9"/>
    <w:rsid w:val="000B4DAE"/>
    <w:rsid w:val="000C3228"/>
    <w:rsid w:val="000E1778"/>
    <w:rsid w:val="000E4B79"/>
    <w:rsid w:val="000E5DC8"/>
    <w:rsid w:val="001024B7"/>
    <w:rsid w:val="0010282B"/>
    <w:rsid w:val="00106527"/>
    <w:rsid w:val="00106B8F"/>
    <w:rsid w:val="0014483B"/>
    <w:rsid w:val="00145661"/>
    <w:rsid w:val="00154BF8"/>
    <w:rsid w:val="00157CDE"/>
    <w:rsid w:val="00197BBB"/>
    <w:rsid w:val="001A065F"/>
    <w:rsid w:val="001A1786"/>
    <w:rsid w:val="001A1849"/>
    <w:rsid w:val="001B2CCA"/>
    <w:rsid w:val="001D662F"/>
    <w:rsid w:val="001E70B5"/>
    <w:rsid w:val="00202B96"/>
    <w:rsid w:val="002305F5"/>
    <w:rsid w:val="002324AB"/>
    <w:rsid w:val="00244807"/>
    <w:rsid w:val="00245DCE"/>
    <w:rsid w:val="00247F28"/>
    <w:rsid w:val="00272B8A"/>
    <w:rsid w:val="00275B23"/>
    <w:rsid w:val="00276557"/>
    <w:rsid w:val="0028202B"/>
    <w:rsid w:val="00290238"/>
    <w:rsid w:val="00292075"/>
    <w:rsid w:val="002922F9"/>
    <w:rsid w:val="002A05B9"/>
    <w:rsid w:val="002A393D"/>
    <w:rsid w:val="002A7A36"/>
    <w:rsid w:val="002B49A3"/>
    <w:rsid w:val="002C378A"/>
    <w:rsid w:val="003035AB"/>
    <w:rsid w:val="0030386C"/>
    <w:rsid w:val="003217CF"/>
    <w:rsid w:val="0034209E"/>
    <w:rsid w:val="003624DF"/>
    <w:rsid w:val="003650EB"/>
    <w:rsid w:val="0036545E"/>
    <w:rsid w:val="00374639"/>
    <w:rsid w:val="0038312C"/>
    <w:rsid w:val="00385590"/>
    <w:rsid w:val="0038606D"/>
    <w:rsid w:val="00387B73"/>
    <w:rsid w:val="003B404F"/>
    <w:rsid w:val="003C4CD4"/>
    <w:rsid w:val="003C6464"/>
    <w:rsid w:val="003D61B1"/>
    <w:rsid w:val="003E2A05"/>
    <w:rsid w:val="003E4C8F"/>
    <w:rsid w:val="00401EE4"/>
    <w:rsid w:val="00403ACD"/>
    <w:rsid w:val="00430C86"/>
    <w:rsid w:val="00431C07"/>
    <w:rsid w:val="00434043"/>
    <w:rsid w:val="00446C2C"/>
    <w:rsid w:val="004475BE"/>
    <w:rsid w:val="0045239C"/>
    <w:rsid w:val="00465F36"/>
    <w:rsid w:val="00474275"/>
    <w:rsid w:val="0047663B"/>
    <w:rsid w:val="00480161"/>
    <w:rsid w:val="004821C3"/>
    <w:rsid w:val="00490CF0"/>
    <w:rsid w:val="004930B9"/>
    <w:rsid w:val="004976C3"/>
    <w:rsid w:val="004A35F5"/>
    <w:rsid w:val="004C2BD3"/>
    <w:rsid w:val="004C3B5A"/>
    <w:rsid w:val="004C7A7E"/>
    <w:rsid w:val="004D5968"/>
    <w:rsid w:val="004E5B55"/>
    <w:rsid w:val="004F54C4"/>
    <w:rsid w:val="00502BE6"/>
    <w:rsid w:val="00526C0C"/>
    <w:rsid w:val="0053430F"/>
    <w:rsid w:val="00544B55"/>
    <w:rsid w:val="00597198"/>
    <w:rsid w:val="005A3E1D"/>
    <w:rsid w:val="005A5F0D"/>
    <w:rsid w:val="005B0604"/>
    <w:rsid w:val="005C4792"/>
    <w:rsid w:val="005D0E70"/>
    <w:rsid w:val="005D348A"/>
    <w:rsid w:val="005D62F8"/>
    <w:rsid w:val="006035DC"/>
    <w:rsid w:val="00613B07"/>
    <w:rsid w:val="00622061"/>
    <w:rsid w:val="00627A85"/>
    <w:rsid w:val="00635C7A"/>
    <w:rsid w:val="0065281C"/>
    <w:rsid w:val="00664253"/>
    <w:rsid w:val="006802DB"/>
    <w:rsid w:val="00694948"/>
    <w:rsid w:val="00696969"/>
    <w:rsid w:val="006A3E8F"/>
    <w:rsid w:val="006A6AEE"/>
    <w:rsid w:val="006B2572"/>
    <w:rsid w:val="006B59CE"/>
    <w:rsid w:val="006C5757"/>
    <w:rsid w:val="006D39CC"/>
    <w:rsid w:val="00701955"/>
    <w:rsid w:val="00734E43"/>
    <w:rsid w:val="00762A6E"/>
    <w:rsid w:val="00781CCE"/>
    <w:rsid w:val="007B048F"/>
    <w:rsid w:val="007E3F9A"/>
    <w:rsid w:val="007E5890"/>
    <w:rsid w:val="007F7F50"/>
    <w:rsid w:val="00822D14"/>
    <w:rsid w:val="008234F5"/>
    <w:rsid w:val="00833BB8"/>
    <w:rsid w:val="00836C4A"/>
    <w:rsid w:val="00842927"/>
    <w:rsid w:val="0086750B"/>
    <w:rsid w:val="0088429A"/>
    <w:rsid w:val="00885CE4"/>
    <w:rsid w:val="0088671D"/>
    <w:rsid w:val="008B3A27"/>
    <w:rsid w:val="008C5631"/>
    <w:rsid w:val="008E0572"/>
    <w:rsid w:val="008E15EC"/>
    <w:rsid w:val="008E6EC0"/>
    <w:rsid w:val="009266C7"/>
    <w:rsid w:val="00940A64"/>
    <w:rsid w:val="0094389C"/>
    <w:rsid w:val="009516D8"/>
    <w:rsid w:val="0095243D"/>
    <w:rsid w:val="0095769A"/>
    <w:rsid w:val="0096268D"/>
    <w:rsid w:val="0096492D"/>
    <w:rsid w:val="00966832"/>
    <w:rsid w:val="00966F38"/>
    <w:rsid w:val="009A1093"/>
    <w:rsid w:val="009C4966"/>
    <w:rsid w:val="009C57FD"/>
    <w:rsid w:val="009E512B"/>
    <w:rsid w:val="009E5DEA"/>
    <w:rsid w:val="009F32EB"/>
    <w:rsid w:val="009F652F"/>
    <w:rsid w:val="00A16B74"/>
    <w:rsid w:val="00A3715D"/>
    <w:rsid w:val="00A42FB7"/>
    <w:rsid w:val="00A442D7"/>
    <w:rsid w:val="00A7621B"/>
    <w:rsid w:val="00A8134D"/>
    <w:rsid w:val="00A8446E"/>
    <w:rsid w:val="00A84DD2"/>
    <w:rsid w:val="00A96B75"/>
    <w:rsid w:val="00AB218F"/>
    <w:rsid w:val="00AB3514"/>
    <w:rsid w:val="00AD72F6"/>
    <w:rsid w:val="00AF5682"/>
    <w:rsid w:val="00B05733"/>
    <w:rsid w:val="00B10E88"/>
    <w:rsid w:val="00B1298C"/>
    <w:rsid w:val="00B154DD"/>
    <w:rsid w:val="00B41336"/>
    <w:rsid w:val="00B463C7"/>
    <w:rsid w:val="00B70D09"/>
    <w:rsid w:val="00B72CDB"/>
    <w:rsid w:val="00B84F0F"/>
    <w:rsid w:val="00B870AB"/>
    <w:rsid w:val="00BB16D9"/>
    <w:rsid w:val="00BB3117"/>
    <w:rsid w:val="00BB7FDC"/>
    <w:rsid w:val="00BC3DB6"/>
    <w:rsid w:val="00BC4CD9"/>
    <w:rsid w:val="00BF6E57"/>
    <w:rsid w:val="00C0091D"/>
    <w:rsid w:val="00C232C1"/>
    <w:rsid w:val="00C303A3"/>
    <w:rsid w:val="00C44046"/>
    <w:rsid w:val="00C478DF"/>
    <w:rsid w:val="00C52563"/>
    <w:rsid w:val="00C641C6"/>
    <w:rsid w:val="00C91151"/>
    <w:rsid w:val="00C9339C"/>
    <w:rsid w:val="00CA3BD5"/>
    <w:rsid w:val="00CB2BE0"/>
    <w:rsid w:val="00CB7688"/>
    <w:rsid w:val="00CC6DF8"/>
    <w:rsid w:val="00CC78BE"/>
    <w:rsid w:val="00CD31E0"/>
    <w:rsid w:val="00CD4B31"/>
    <w:rsid w:val="00CE74EF"/>
    <w:rsid w:val="00CF2EDF"/>
    <w:rsid w:val="00CF481B"/>
    <w:rsid w:val="00D00AAB"/>
    <w:rsid w:val="00D03CA7"/>
    <w:rsid w:val="00D06D2E"/>
    <w:rsid w:val="00D10ED4"/>
    <w:rsid w:val="00D11B67"/>
    <w:rsid w:val="00D30B64"/>
    <w:rsid w:val="00D524F4"/>
    <w:rsid w:val="00D720A0"/>
    <w:rsid w:val="00D81FA0"/>
    <w:rsid w:val="00DA2E68"/>
    <w:rsid w:val="00DA7D70"/>
    <w:rsid w:val="00DC0B8F"/>
    <w:rsid w:val="00DC588A"/>
    <w:rsid w:val="00DD2A05"/>
    <w:rsid w:val="00DD4BFE"/>
    <w:rsid w:val="00DD7C4C"/>
    <w:rsid w:val="00DE125C"/>
    <w:rsid w:val="00DF23DF"/>
    <w:rsid w:val="00E077EC"/>
    <w:rsid w:val="00E15C7A"/>
    <w:rsid w:val="00E21313"/>
    <w:rsid w:val="00E35162"/>
    <w:rsid w:val="00E43673"/>
    <w:rsid w:val="00E51731"/>
    <w:rsid w:val="00E616E8"/>
    <w:rsid w:val="00EA24B8"/>
    <w:rsid w:val="00EB7DF8"/>
    <w:rsid w:val="00EC1C9F"/>
    <w:rsid w:val="00EF4FA2"/>
    <w:rsid w:val="00F038B9"/>
    <w:rsid w:val="00F12AE7"/>
    <w:rsid w:val="00F24B9D"/>
    <w:rsid w:val="00F274DF"/>
    <w:rsid w:val="00F621BC"/>
    <w:rsid w:val="00F624E0"/>
    <w:rsid w:val="00F663BC"/>
    <w:rsid w:val="00FB0910"/>
    <w:rsid w:val="00FB2F8E"/>
    <w:rsid w:val="00FC6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A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0AAB"/>
    <w:rPr>
      <w:color w:val="1E66AC"/>
      <w:u w:val="single"/>
    </w:rPr>
  </w:style>
  <w:style w:type="paragraph" w:styleId="NormalWeb">
    <w:name w:val="Normal (Web)"/>
    <w:basedOn w:val="Normal"/>
    <w:uiPriority w:val="99"/>
    <w:semiHidden/>
    <w:unhideWhenUsed/>
    <w:rsid w:val="00D00AA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00AA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A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0AAB"/>
    <w:rPr>
      <w:color w:val="1E66AC"/>
      <w:u w:val="single"/>
    </w:rPr>
  </w:style>
  <w:style w:type="paragraph" w:styleId="NormalWeb">
    <w:name w:val="Normal (Web)"/>
    <w:basedOn w:val="Normal"/>
    <w:uiPriority w:val="99"/>
    <w:semiHidden/>
    <w:unhideWhenUsed/>
    <w:rsid w:val="00D00AA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00A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ric.ed.gov/ERICWebPortal/search/simpleSearch.jsp?_pageLabel=ERICSearchResult&amp;_urlType=action&amp;newSearch=true&amp;ERICExtSearch_SearchType_0=au&amp;ERICExtSearch_SearchValue_0=%22Nugent+Patricia+M.%2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449</Words>
  <Characters>2562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1</cp:revision>
  <dcterms:created xsi:type="dcterms:W3CDTF">2011-09-27T09:25:00Z</dcterms:created>
  <dcterms:modified xsi:type="dcterms:W3CDTF">2011-09-27T09:52:00Z</dcterms:modified>
</cp:coreProperties>
</file>